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7FD" w:rsidRPr="009877FD" w:rsidRDefault="009877FD" w:rsidP="009877FD">
      <w:pPr>
        <w:spacing w:after="0" w:line="240" w:lineRule="auto"/>
        <w:jc w:val="center"/>
        <w:rPr>
          <w:rFonts w:ascii="Times New Roman" w:eastAsia="Times New Roman" w:hAnsi="Times New Roman" w:cs="Times New Roman"/>
          <w:color w:val="000000"/>
          <w:sz w:val="27"/>
          <w:szCs w:val="27"/>
        </w:rPr>
      </w:pPr>
      <w:r w:rsidRPr="009877FD">
        <w:rPr>
          <w:rFonts w:ascii="Times New Roman" w:eastAsia="Times New Roman" w:hAnsi="Times New Roman" w:cs="Times New Roman"/>
          <w:b/>
          <w:bCs/>
          <w:color w:val="000080"/>
          <w:sz w:val="48"/>
          <w:szCs w:val="48"/>
          <w:u w:val="single"/>
        </w:rPr>
        <w:t>Final Written Determination</w:t>
      </w:r>
    </w:p>
    <w:p w:rsidR="009877FD" w:rsidRPr="009877FD" w:rsidRDefault="009877FD" w:rsidP="009877FD">
      <w:pPr>
        <w:spacing w:after="0" w:line="240" w:lineRule="auto"/>
        <w:rPr>
          <w:rFonts w:ascii="Times New Roman" w:eastAsia="Times New Roman" w:hAnsi="Times New Roman" w:cs="Times New Roman"/>
          <w:sz w:val="24"/>
          <w:szCs w:val="24"/>
        </w:rPr>
      </w:pPr>
    </w:p>
    <w:tbl>
      <w:tblPr>
        <w:tblW w:w="0" w:type="auto"/>
        <w:tblCellSpacing w:w="0" w:type="dxa"/>
        <w:shd w:val="clear" w:color="auto" w:fill="FFE1DC"/>
        <w:tblCellMar>
          <w:left w:w="0" w:type="dxa"/>
          <w:right w:w="0" w:type="dxa"/>
        </w:tblCellMar>
        <w:tblLook w:val="04A0" w:firstRow="1" w:lastRow="0" w:firstColumn="1" w:lastColumn="0" w:noHBand="0" w:noVBand="1"/>
      </w:tblPr>
      <w:tblGrid>
        <w:gridCol w:w="2025"/>
        <w:gridCol w:w="7335"/>
      </w:tblGrid>
      <w:tr w:rsidR="009877FD" w:rsidRPr="009877FD" w:rsidTr="009877FD">
        <w:trPr>
          <w:tblCellSpacing w:w="0" w:type="dxa"/>
        </w:trPr>
        <w:tc>
          <w:tcPr>
            <w:tcW w:w="2130" w:type="dxa"/>
            <w:shd w:val="clear" w:color="auto" w:fill="auto"/>
            <w:hideMark/>
          </w:tcPr>
          <w:p w:rsidR="009877FD" w:rsidRPr="009877FD" w:rsidRDefault="009877FD" w:rsidP="009877FD">
            <w:pPr>
              <w:spacing w:after="0" w:line="240" w:lineRule="auto"/>
              <w:rPr>
                <w:rFonts w:ascii="Times New Roman" w:eastAsia="Times New Roman" w:hAnsi="Times New Roman" w:cs="Times New Roman"/>
                <w:sz w:val="24"/>
                <w:szCs w:val="24"/>
              </w:rPr>
            </w:pPr>
            <w:r w:rsidRPr="009877FD">
              <w:rPr>
                <w:rFonts w:ascii="Times New Roman" w:eastAsia="Times New Roman" w:hAnsi="Times New Roman" w:cs="Times New Roman"/>
                <w:b/>
                <w:bCs/>
                <w:color w:val="000080"/>
                <w:sz w:val="24"/>
                <w:szCs w:val="24"/>
              </w:rPr>
              <w:t>Docket Number:</w:t>
            </w:r>
          </w:p>
        </w:tc>
        <w:tc>
          <w:tcPr>
            <w:tcW w:w="7980" w:type="dxa"/>
            <w:shd w:val="clear" w:color="auto" w:fill="auto"/>
            <w:hideMark/>
          </w:tcPr>
          <w:p w:rsidR="009877FD" w:rsidRPr="009877FD" w:rsidRDefault="009877FD" w:rsidP="009877FD">
            <w:pPr>
              <w:spacing w:after="0" w:line="240" w:lineRule="auto"/>
              <w:rPr>
                <w:rFonts w:ascii="Times New Roman" w:eastAsia="Times New Roman" w:hAnsi="Times New Roman" w:cs="Times New Roman"/>
                <w:sz w:val="24"/>
                <w:szCs w:val="24"/>
              </w:rPr>
            </w:pPr>
            <w:bookmarkStart w:id="0" w:name="_GoBack"/>
            <w:r w:rsidRPr="009877FD">
              <w:rPr>
                <w:rFonts w:ascii="Times New Roman" w:eastAsia="Times New Roman" w:hAnsi="Times New Roman" w:cs="Times New Roman"/>
                <w:b/>
                <w:bCs/>
                <w:sz w:val="24"/>
                <w:szCs w:val="24"/>
              </w:rPr>
              <w:t>WFD-P-2001-2</w:t>
            </w:r>
            <w:bookmarkEnd w:id="0"/>
          </w:p>
        </w:tc>
      </w:tr>
    </w:tbl>
    <w:p w:rsidR="009877FD" w:rsidRPr="009877FD" w:rsidRDefault="009877FD" w:rsidP="009877F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E1DC"/>
        <w:tblCellMar>
          <w:left w:w="0" w:type="dxa"/>
          <w:right w:w="0" w:type="dxa"/>
        </w:tblCellMar>
        <w:tblLook w:val="04A0" w:firstRow="1" w:lastRow="0" w:firstColumn="1" w:lastColumn="0" w:noHBand="0" w:noVBand="1"/>
      </w:tblPr>
      <w:tblGrid>
        <w:gridCol w:w="2025"/>
        <w:gridCol w:w="7335"/>
      </w:tblGrid>
      <w:tr w:rsidR="009877FD" w:rsidRPr="009877FD" w:rsidTr="009877FD">
        <w:trPr>
          <w:tblCellSpacing w:w="0" w:type="dxa"/>
        </w:trPr>
        <w:tc>
          <w:tcPr>
            <w:tcW w:w="2130" w:type="dxa"/>
            <w:shd w:val="clear" w:color="auto" w:fill="auto"/>
            <w:hideMark/>
          </w:tcPr>
          <w:p w:rsidR="009877FD" w:rsidRPr="009877FD" w:rsidRDefault="009877FD" w:rsidP="009877FD">
            <w:pPr>
              <w:spacing w:after="0" w:line="240" w:lineRule="auto"/>
              <w:rPr>
                <w:rFonts w:ascii="Times New Roman" w:eastAsia="Times New Roman" w:hAnsi="Times New Roman" w:cs="Times New Roman"/>
                <w:sz w:val="24"/>
                <w:szCs w:val="24"/>
              </w:rPr>
            </w:pPr>
            <w:r w:rsidRPr="009877FD">
              <w:rPr>
                <w:rFonts w:ascii="Times New Roman" w:eastAsia="Times New Roman" w:hAnsi="Times New Roman" w:cs="Times New Roman"/>
                <w:b/>
                <w:bCs/>
                <w:color w:val="000080"/>
                <w:sz w:val="24"/>
                <w:szCs w:val="24"/>
              </w:rPr>
              <w:t>Tax Type:</w:t>
            </w:r>
          </w:p>
        </w:tc>
        <w:tc>
          <w:tcPr>
            <w:tcW w:w="8190" w:type="dxa"/>
            <w:shd w:val="clear" w:color="auto" w:fill="auto"/>
            <w:hideMark/>
          </w:tcPr>
          <w:p w:rsidR="009877FD" w:rsidRPr="009877FD" w:rsidRDefault="009877FD" w:rsidP="009877FD">
            <w:pPr>
              <w:spacing w:after="0" w:line="240" w:lineRule="auto"/>
              <w:rPr>
                <w:rFonts w:ascii="Times New Roman" w:eastAsia="Times New Roman" w:hAnsi="Times New Roman" w:cs="Times New Roman"/>
                <w:sz w:val="24"/>
                <w:szCs w:val="24"/>
              </w:rPr>
            </w:pPr>
            <w:r w:rsidRPr="009877FD">
              <w:rPr>
                <w:rFonts w:ascii="Times New Roman" w:eastAsia="Times New Roman" w:hAnsi="Times New Roman" w:cs="Times New Roman"/>
                <w:b/>
                <w:bCs/>
                <w:sz w:val="24"/>
                <w:szCs w:val="24"/>
              </w:rPr>
              <w:t>Kansas Retailers' Sales Tax</w:t>
            </w:r>
          </w:p>
        </w:tc>
      </w:tr>
      <w:tr w:rsidR="009877FD" w:rsidRPr="009877FD" w:rsidTr="009877FD">
        <w:trPr>
          <w:tblCellSpacing w:w="0" w:type="dxa"/>
        </w:trPr>
        <w:tc>
          <w:tcPr>
            <w:tcW w:w="2130" w:type="dxa"/>
            <w:shd w:val="clear" w:color="auto" w:fill="auto"/>
            <w:hideMark/>
          </w:tcPr>
          <w:p w:rsidR="009877FD" w:rsidRPr="009877FD" w:rsidRDefault="009877FD" w:rsidP="009877FD">
            <w:pPr>
              <w:spacing w:after="0" w:line="240" w:lineRule="auto"/>
              <w:rPr>
                <w:rFonts w:ascii="Times New Roman" w:eastAsia="Times New Roman" w:hAnsi="Times New Roman" w:cs="Times New Roman"/>
                <w:sz w:val="24"/>
                <w:szCs w:val="24"/>
              </w:rPr>
            </w:pPr>
            <w:r w:rsidRPr="009877FD">
              <w:rPr>
                <w:rFonts w:ascii="Times New Roman" w:eastAsia="Times New Roman" w:hAnsi="Times New Roman" w:cs="Times New Roman"/>
                <w:b/>
                <w:bCs/>
                <w:color w:val="000080"/>
                <w:sz w:val="24"/>
                <w:szCs w:val="24"/>
              </w:rPr>
              <w:t>Brief Description:</w:t>
            </w:r>
          </w:p>
        </w:tc>
        <w:tc>
          <w:tcPr>
            <w:tcW w:w="8190" w:type="dxa"/>
            <w:shd w:val="clear" w:color="auto" w:fill="auto"/>
            <w:hideMark/>
          </w:tcPr>
          <w:p w:rsidR="009877FD" w:rsidRPr="009877FD" w:rsidRDefault="009877FD" w:rsidP="009877FD">
            <w:pPr>
              <w:spacing w:after="0" w:line="240" w:lineRule="auto"/>
              <w:rPr>
                <w:rFonts w:ascii="Times New Roman" w:eastAsia="Times New Roman" w:hAnsi="Times New Roman" w:cs="Times New Roman"/>
                <w:sz w:val="24"/>
                <w:szCs w:val="24"/>
              </w:rPr>
            </w:pPr>
            <w:r w:rsidRPr="009877FD">
              <w:rPr>
                <w:rFonts w:ascii="Times New Roman" w:eastAsia="Times New Roman" w:hAnsi="Times New Roman" w:cs="Times New Roman"/>
                <w:b/>
                <w:bCs/>
                <w:sz w:val="24"/>
                <w:szCs w:val="24"/>
              </w:rPr>
              <w:t>Bad debt adjustment for federal income tax purposes.</w:t>
            </w:r>
          </w:p>
        </w:tc>
      </w:tr>
      <w:tr w:rsidR="009877FD" w:rsidRPr="009877FD" w:rsidTr="009877FD">
        <w:trPr>
          <w:tblCellSpacing w:w="0" w:type="dxa"/>
        </w:trPr>
        <w:tc>
          <w:tcPr>
            <w:tcW w:w="2130" w:type="dxa"/>
            <w:shd w:val="clear" w:color="auto" w:fill="auto"/>
            <w:hideMark/>
          </w:tcPr>
          <w:p w:rsidR="009877FD" w:rsidRPr="009877FD" w:rsidRDefault="009877FD" w:rsidP="009877FD">
            <w:pPr>
              <w:spacing w:after="0" w:line="240" w:lineRule="auto"/>
              <w:rPr>
                <w:rFonts w:ascii="Times New Roman" w:eastAsia="Times New Roman" w:hAnsi="Times New Roman" w:cs="Times New Roman"/>
                <w:sz w:val="24"/>
                <w:szCs w:val="24"/>
              </w:rPr>
            </w:pPr>
            <w:r w:rsidRPr="009877FD">
              <w:rPr>
                <w:rFonts w:ascii="Times New Roman" w:eastAsia="Times New Roman" w:hAnsi="Times New Roman" w:cs="Times New Roman"/>
                <w:b/>
                <w:bCs/>
                <w:color w:val="000080"/>
                <w:sz w:val="24"/>
                <w:szCs w:val="24"/>
              </w:rPr>
              <w:t>Keywords:</w:t>
            </w:r>
          </w:p>
        </w:tc>
        <w:tc>
          <w:tcPr>
            <w:tcW w:w="8190" w:type="dxa"/>
            <w:shd w:val="clear" w:color="auto" w:fill="auto"/>
            <w:hideMark/>
          </w:tcPr>
          <w:p w:rsidR="009877FD" w:rsidRPr="009877FD" w:rsidRDefault="009877FD" w:rsidP="009877FD">
            <w:pPr>
              <w:spacing w:after="0" w:line="240" w:lineRule="auto"/>
              <w:rPr>
                <w:rFonts w:ascii="Times New Roman" w:eastAsia="Times New Roman" w:hAnsi="Times New Roman" w:cs="Times New Roman"/>
                <w:sz w:val="24"/>
                <w:szCs w:val="24"/>
              </w:rPr>
            </w:pPr>
          </w:p>
        </w:tc>
      </w:tr>
      <w:tr w:rsidR="009877FD" w:rsidRPr="009877FD" w:rsidTr="009877FD">
        <w:trPr>
          <w:tblCellSpacing w:w="0" w:type="dxa"/>
        </w:trPr>
        <w:tc>
          <w:tcPr>
            <w:tcW w:w="2130" w:type="dxa"/>
            <w:shd w:val="clear" w:color="auto" w:fill="auto"/>
            <w:hideMark/>
          </w:tcPr>
          <w:p w:rsidR="009877FD" w:rsidRPr="009877FD" w:rsidRDefault="009877FD" w:rsidP="009877FD">
            <w:pPr>
              <w:spacing w:after="0" w:line="240" w:lineRule="auto"/>
              <w:rPr>
                <w:rFonts w:ascii="Times New Roman" w:eastAsia="Times New Roman" w:hAnsi="Times New Roman" w:cs="Times New Roman"/>
                <w:sz w:val="24"/>
                <w:szCs w:val="24"/>
              </w:rPr>
            </w:pPr>
            <w:r w:rsidRPr="009877FD">
              <w:rPr>
                <w:rFonts w:ascii="Times New Roman" w:eastAsia="Times New Roman" w:hAnsi="Times New Roman" w:cs="Times New Roman"/>
                <w:b/>
                <w:bCs/>
                <w:color w:val="000080"/>
                <w:sz w:val="24"/>
                <w:szCs w:val="24"/>
              </w:rPr>
              <w:t>Approval Date:</w:t>
            </w:r>
          </w:p>
        </w:tc>
        <w:tc>
          <w:tcPr>
            <w:tcW w:w="8190" w:type="dxa"/>
            <w:shd w:val="clear" w:color="auto" w:fill="auto"/>
            <w:hideMark/>
          </w:tcPr>
          <w:p w:rsidR="009877FD" w:rsidRPr="009877FD" w:rsidRDefault="009877FD" w:rsidP="009877FD">
            <w:pPr>
              <w:spacing w:after="0" w:line="240" w:lineRule="auto"/>
              <w:rPr>
                <w:rFonts w:ascii="Times New Roman" w:eastAsia="Times New Roman" w:hAnsi="Times New Roman" w:cs="Times New Roman"/>
                <w:sz w:val="24"/>
                <w:szCs w:val="24"/>
              </w:rPr>
            </w:pPr>
            <w:r w:rsidRPr="009877FD">
              <w:rPr>
                <w:rFonts w:ascii="Times New Roman" w:eastAsia="Times New Roman" w:hAnsi="Times New Roman" w:cs="Times New Roman"/>
                <w:b/>
                <w:bCs/>
                <w:sz w:val="24"/>
                <w:szCs w:val="24"/>
              </w:rPr>
              <w:t>02/09/2001</w:t>
            </w:r>
          </w:p>
        </w:tc>
      </w:tr>
    </w:tbl>
    <w:p w:rsidR="009877FD" w:rsidRPr="009877FD" w:rsidRDefault="006F7FB6" w:rsidP="009877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9877FD" w:rsidRPr="009877FD" w:rsidRDefault="009877FD" w:rsidP="009877FD">
      <w:pPr>
        <w:spacing w:after="0" w:line="240" w:lineRule="auto"/>
        <w:rPr>
          <w:rFonts w:ascii="Times New Roman" w:eastAsia="Times New Roman" w:hAnsi="Times New Roman" w:cs="Times New Roman"/>
          <w:sz w:val="24"/>
          <w:szCs w:val="24"/>
        </w:rPr>
      </w:pPr>
      <w:r w:rsidRPr="009877FD">
        <w:rPr>
          <w:rFonts w:ascii="Times New Roman" w:eastAsia="Times New Roman" w:hAnsi="Times New Roman" w:cs="Times New Roman"/>
          <w:color w:val="000000"/>
          <w:sz w:val="27"/>
          <w:szCs w:val="27"/>
        </w:rPr>
        <w:br/>
      </w:r>
      <w:r w:rsidRPr="009877FD">
        <w:rPr>
          <w:rFonts w:ascii="Times New Roman" w:eastAsia="Times New Roman" w:hAnsi="Times New Roman" w:cs="Times New Roman"/>
          <w:b/>
          <w:bCs/>
          <w:color w:val="000080"/>
          <w:sz w:val="27"/>
          <w:szCs w:val="27"/>
        </w:rPr>
        <w:t>Body:</w:t>
      </w:r>
    </w:p>
    <w:p w:rsidR="009877FD" w:rsidRPr="009877FD" w:rsidRDefault="009877FD" w:rsidP="009877FD">
      <w:pPr>
        <w:spacing w:after="0" w:line="240" w:lineRule="auto"/>
        <w:jc w:val="center"/>
        <w:rPr>
          <w:rFonts w:ascii="Times New Roman" w:eastAsia="Times New Roman" w:hAnsi="Times New Roman" w:cs="Times New Roman"/>
          <w:color w:val="000000"/>
          <w:sz w:val="27"/>
          <w:szCs w:val="27"/>
        </w:rPr>
      </w:pPr>
      <w:r w:rsidRPr="009877FD">
        <w:rPr>
          <w:rFonts w:ascii="Times New Roman" w:eastAsia="Times New Roman" w:hAnsi="Times New Roman" w:cs="Times New Roman"/>
          <w:b/>
          <w:bCs/>
          <w:color w:val="000000"/>
          <w:sz w:val="27"/>
          <w:szCs w:val="27"/>
        </w:rPr>
        <w:t>Office of Administrative Appeals</w:t>
      </w:r>
    </w:p>
    <w:p w:rsidR="009877FD" w:rsidRPr="009877FD" w:rsidRDefault="009877FD" w:rsidP="009877FD">
      <w:pPr>
        <w:spacing w:after="0" w:line="240" w:lineRule="auto"/>
        <w:rPr>
          <w:rFonts w:ascii="Times New Roman" w:eastAsia="Times New Roman" w:hAnsi="Times New Roman" w:cs="Times New Roman"/>
          <w:sz w:val="24"/>
          <w:szCs w:val="24"/>
        </w:rPr>
      </w:pPr>
      <w:r w:rsidRPr="009877FD">
        <w:rPr>
          <w:rFonts w:ascii="Times New Roman" w:eastAsia="Times New Roman" w:hAnsi="Times New Roman" w:cs="Times New Roman"/>
          <w:color w:val="000000"/>
          <w:sz w:val="27"/>
          <w:szCs w:val="27"/>
        </w:rPr>
        <w:br/>
      </w:r>
      <w:r w:rsidRPr="009877FD">
        <w:rPr>
          <w:rFonts w:ascii="Times New Roman" w:eastAsia="Times New Roman" w:hAnsi="Times New Roman" w:cs="Times New Roman"/>
          <w:color w:val="000000"/>
          <w:sz w:val="27"/>
          <w:szCs w:val="27"/>
        </w:rPr>
        <w:br/>
      </w:r>
    </w:p>
    <w:p w:rsidR="009877FD" w:rsidRPr="009877FD" w:rsidRDefault="009877FD" w:rsidP="009877FD">
      <w:pPr>
        <w:spacing w:after="0" w:line="240" w:lineRule="auto"/>
        <w:jc w:val="center"/>
        <w:rPr>
          <w:rFonts w:ascii="Times New Roman" w:eastAsia="Times New Roman" w:hAnsi="Times New Roman" w:cs="Times New Roman"/>
          <w:color w:val="000000"/>
          <w:sz w:val="27"/>
          <w:szCs w:val="27"/>
        </w:rPr>
      </w:pPr>
      <w:r w:rsidRPr="009877FD">
        <w:rPr>
          <w:rFonts w:ascii="Times New Roman" w:eastAsia="Times New Roman" w:hAnsi="Times New Roman" w:cs="Times New Roman"/>
          <w:color w:val="000000"/>
          <w:sz w:val="27"/>
          <w:szCs w:val="27"/>
        </w:rPr>
        <w:t>February 9, 2001</w:t>
      </w:r>
    </w:p>
    <w:p w:rsidR="009877FD" w:rsidRPr="009877FD" w:rsidRDefault="009877FD" w:rsidP="009877FD">
      <w:pPr>
        <w:spacing w:after="0" w:line="240" w:lineRule="auto"/>
        <w:rPr>
          <w:rFonts w:ascii="Times New Roman" w:eastAsia="Times New Roman" w:hAnsi="Times New Roman" w:cs="Times New Roman"/>
          <w:sz w:val="24"/>
          <w:szCs w:val="24"/>
        </w:rPr>
      </w:pPr>
      <w:r w:rsidRPr="009877FD">
        <w:rPr>
          <w:rFonts w:ascii="Times New Roman" w:eastAsia="Times New Roman" w:hAnsi="Times New Roman" w:cs="Times New Roman"/>
          <w:color w:val="000000"/>
          <w:sz w:val="27"/>
          <w:szCs w:val="27"/>
        </w:rPr>
        <w:br/>
      </w:r>
      <w:r w:rsidRPr="009877FD">
        <w:rPr>
          <w:rFonts w:ascii="Times New Roman" w:eastAsia="Times New Roman" w:hAnsi="Times New Roman" w:cs="Times New Roman"/>
          <w:color w:val="000000"/>
          <w:sz w:val="27"/>
          <w:szCs w:val="27"/>
        </w:rPr>
        <w:br/>
      </w:r>
      <w:r w:rsidRPr="009877FD">
        <w:rPr>
          <w:rFonts w:ascii="Times New Roman" w:eastAsia="Times New Roman" w:hAnsi="Times New Roman" w:cs="Times New Roman"/>
          <w:color w:val="000000"/>
          <w:sz w:val="27"/>
          <w:szCs w:val="27"/>
        </w:rPr>
        <w:br/>
        <w:t>XXXXXXX</w:t>
      </w:r>
      <w:r w:rsidRPr="009877FD">
        <w:rPr>
          <w:rFonts w:ascii="Times New Roman" w:eastAsia="Times New Roman" w:hAnsi="Times New Roman" w:cs="Times New Roman"/>
          <w:color w:val="000000"/>
          <w:sz w:val="27"/>
          <w:szCs w:val="27"/>
        </w:rPr>
        <w:br/>
      </w:r>
      <w:proofErr w:type="spellStart"/>
      <w:r w:rsidRPr="009877FD">
        <w:rPr>
          <w:rFonts w:ascii="Times New Roman" w:eastAsia="Times New Roman" w:hAnsi="Times New Roman" w:cs="Times New Roman"/>
          <w:color w:val="000000"/>
          <w:sz w:val="27"/>
          <w:szCs w:val="27"/>
        </w:rPr>
        <w:t>XXXXXXX</w:t>
      </w:r>
      <w:proofErr w:type="spellEnd"/>
      <w:r w:rsidRPr="009877FD">
        <w:rPr>
          <w:rFonts w:ascii="Times New Roman" w:eastAsia="Times New Roman" w:hAnsi="Times New Roman" w:cs="Times New Roman"/>
          <w:color w:val="000000"/>
          <w:sz w:val="27"/>
          <w:szCs w:val="27"/>
        </w:rPr>
        <w:br/>
      </w:r>
      <w:proofErr w:type="spellStart"/>
      <w:r w:rsidRPr="009877FD">
        <w:rPr>
          <w:rFonts w:ascii="Times New Roman" w:eastAsia="Times New Roman" w:hAnsi="Times New Roman" w:cs="Times New Roman"/>
          <w:color w:val="000000"/>
          <w:sz w:val="27"/>
          <w:szCs w:val="27"/>
        </w:rPr>
        <w:t>XXXXXXX</w:t>
      </w:r>
      <w:proofErr w:type="spellEnd"/>
      <w:r w:rsidRPr="009877FD">
        <w:rPr>
          <w:rFonts w:ascii="Times New Roman" w:eastAsia="Times New Roman" w:hAnsi="Times New Roman" w:cs="Times New Roman"/>
          <w:color w:val="000000"/>
          <w:sz w:val="27"/>
          <w:szCs w:val="27"/>
        </w:rPr>
        <w:br/>
      </w:r>
      <w:proofErr w:type="spellStart"/>
      <w:r w:rsidRPr="009877FD">
        <w:rPr>
          <w:rFonts w:ascii="Times New Roman" w:eastAsia="Times New Roman" w:hAnsi="Times New Roman" w:cs="Times New Roman"/>
          <w:color w:val="000000"/>
          <w:sz w:val="27"/>
          <w:szCs w:val="27"/>
        </w:rPr>
        <w:t>XXXXXXX</w:t>
      </w:r>
      <w:proofErr w:type="spellEnd"/>
      <w:r w:rsidRPr="009877FD">
        <w:rPr>
          <w:rFonts w:ascii="Times New Roman" w:eastAsia="Times New Roman" w:hAnsi="Times New Roman" w:cs="Times New Roman"/>
          <w:color w:val="000000"/>
          <w:sz w:val="27"/>
          <w:szCs w:val="27"/>
        </w:rPr>
        <w:br/>
      </w:r>
      <w:r w:rsidRPr="009877FD">
        <w:rPr>
          <w:rFonts w:ascii="Times New Roman" w:eastAsia="Times New Roman" w:hAnsi="Times New Roman" w:cs="Times New Roman"/>
          <w:color w:val="000000"/>
          <w:sz w:val="27"/>
          <w:szCs w:val="27"/>
        </w:rPr>
        <w:br/>
        <w:t>RE: Written Final Determination in Request for Informal Conference for Reconsideration of Agency Action, (Taxpayer), Docket Number 00-355</w:t>
      </w:r>
      <w:r w:rsidRPr="009877FD">
        <w:rPr>
          <w:rFonts w:ascii="Times New Roman" w:eastAsia="Times New Roman" w:hAnsi="Times New Roman" w:cs="Times New Roman"/>
          <w:color w:val="000000"/>
          <w:sz w:val="27"/>
          <w:szCs w:val="27"/>
        </w:rPr>
        <w:br/>
      </w:r>
      <w:r w:rsidRPr="009877FD">
        <w:rPr>
          <w:rFonts w:ascii="Times New Roman" w:eastAsia="Times New Roman" w:hAnsi="Times New Roman" w:cs="Times New Roman"/>
          <w:color w:val="000000"/>
          <w:sz w:val="27"/>
          <w:szCs w:val="27"/>
        </w:rPr>
        <w:br/>
        <w:t>Dear XXXXX</w:t>
      </w:r>
      <w:proofErr w:type="gramStart"/>
      <w:r w:rsidRPr="009877FD">
        <w:rPr>
          <w:rFonts w:ascii="Times New Roman" w:eastAsia="Times New Roman" w:hAnsi="Times New Roman" w:cs="Times New Roman"/>
          <w:color w:val="000000"/>
          <w:sz w:val="27"/>
          <w:szCs w:val="27"/>
        </w:rPr>
        <w:t>:</w:t>
      </w:r>
      <w:proofErr w:type="gramEnd"/>
      <w:r w:rsidRPr="009877FD">
        <w:rPr>
          <w:rFonts w:ascii="Times New Roman" w:eastAsia="Times New Roman" w:hAnsi="Times New Roman" w:cs="Times New Roman"/>
          <w:color w:val="000000"/>
          <w:sz w:val="27"/>
          <w:szCs w:val="27"/>
        </w:rPr>
        <w:br/>
      </w:r>
      <w:r w:rsidRPr="009877FD">
        <w:rPr>
          <w:rFonts w:ascii="Times New Roman" w:eastAsia="Times New Roman" w:hAnsi="Times New Roman" w:cs="Times New Roman"/>
          <w:color w:val="000000"/>
          <w:sz w:val="27"/>
          <w:szCs w:val="27"/>
        </w:rPr>
        <w:br/>
        <w:t>On May 17, 2000, the Taxpayer timely filed a written request for an Informal Conference with the Kansas Secretary of Revenue (Secretary). This request was in response to a Notice of Denial of Refund of Retailers’ Sales Tax issued by the Kansas Department of Revenue (Department) on March 14, 2000.</w:t>
      </w:r>
    </w:p>
    <w:p w:rsidR="009877FD" w:rsidRPr="009877FD" w:rsidRDefault="009877FD" w:rsidP="009877FD">
      <w:pPr>
        <w:spacing w:after="0" w:line="240" w:lineRule="auto"/>
        <w:jc w:val="center"/>
        <w:rPr>
          <w:rFonts w:ascii="Times New Roman" w:eastAsia="Times New Roman" w:hAnsi="Times New Roman" w:cs="Times New Roman"/>
          <w:color w:val="000000"/>
          <w:sz w:val="27"/>
          <w:szCs w:val="27"/>
        </w:rPr>
      </w:pPr>
      <w:r w:rsidRPr="009877FD">
        <w:rPr>
          <w:rFonts w:ascii="Times New Roman" w:eastAsia="Times New Roman" w:hAnsi="Times New Roman" w:cs="Times New Roman"/>
          <w:color w:val="000000"/>
          <w:sz w:val="27"/>
          <w:szCs w:val="27"/>
        </w:rPr>
        <w:br/>
      </w:r>
      <w:r w:rsidRPr="009877FD">
        <w:rPr>
          <w:rFonts w:ascii="Times New Roman" w:eastAsia="Times New Roman" w:hAnsi="Times New Roman" w:cs="Times New Roman"/>
          <w:color w:val="000000"/>
          <w:sz w:val="27"/>
          <w:szCs w:val="27"/>
          <w:u w:val="single"/>
        </w:rPr>
        <w:t>Procedural History</w:t>
      </w:r>
    </w:p>
    <w:p w:rsidR="009877FD" w:rsidRPr="009877FD" w:rsidRDefault="009877FD" w:rsidP="009877FD">
      <w:pPr>
        <w:spacing w:after="0" w:line="240" w:lineRule="auto"/>
        <w:rPr>
          <w:rFonts w:ascii="Times New Roman" w:eastAsia="Times New Roman" w:hAnsi="Times New Roman" w:cs="Times New Roman"/>
          <w:sz w:val="24"/>
          <w:szCs w:val="24"/>
        </w:rPr>
      </w:pPr>
      <w:r w:rsidRPr="009877FD">
        <w:rPr>
          <w:rFonts w:ascii="Times New Roman" w:eastAsia="Times New Roman" w:hAnsi="Times New Roman" w:cs="Times New Roman"/>
          <w:color w:val="000000"/>
          <w:sz w:val="27"/>
          <w:szCs w:val="27"/>
        </w:rPr>
        <w:br/>
        <w:t xml:space="preserve">On April 20, 1999, the Taxpayer requested a refund from the Department for sales and use tax together with interest incurred on bad debts for the period December 1, 1996 through December 31, 1998. The Taxpayer was a non-recourse assignee of many financing contracts from Kansas retailers. The Taxpayer seeks to “step into the shoes” of the retailers in order to obtain a refund of that part of the tax that was charged off as a bad debt adjustment for federal income tax purposes. On March 14, 2000, the </w:t>
      </w:r>
      <w:r w:rsidRPr="009877FD">
        <w:rPr>
          <w:rFonts w:ascii="Times New Roman" w:eastAsia="Times New Roman" w:hAnsi="Times New Roman" w:cs="Times New Roman"/>
          <w:color w:val="000000"/>
          <w:sz w:val="27"/>
          <w:szCs w:val="27"/>
        </w:rPr>
        <w:lastRenderedPageBreak/>
        <w:t>Department sent a letter to the Taxpayer denying its refund request. A timely request for an Informal Conference was made by the Taxpayer on May 17, 2000.</w:t>
      </w:r>
    </w:p>
    <w:p w:rsidR="009877FD" w:rsidRPr="009877FD" w:rsidRDefault="009877FD" w:rsidP="009877FD">
      <w:pPr>
        <w:spacing w:after="0" w:line="240" w:lineRule="auto"/>
        <w:jc w:val="center"/>
        <w:rPr>
          <w:rFonts w:ascii="Times New Roman" w:eastAsia="Times New Roman" w:hAnsi="Times New Roman" w:cs="Times New Roman"/>
          <w:color w:val="000000"/>
          <w:sz w:val="27"/>
          <w:szCs w:val="27"/>
        </w:rPr>
      </w:pPr>
      <w:r w:rsidRPr="009877FD">
        <w:rPr>
          <w:rFonts w:ascii="Times New Roman" w:eastAsia="Times New Roman" w:hAnsi="Times New Roman" w:cs="Times New Roman"/>
          <w:color w:val="000000"/>
          <w:sz w:val="27"/>
          <w:szCs w:val="27"/>
        </w:rPr>
        <w:br/>
      </w:r>
      <w:r w:rsidRPr="009877FD">
        <w:rPr>
          <w:rFonts w:ascii="Times New Roman" w:eastAsia="Times New Roman" w:hAnsi="Times New Roman" w:cs="Times New Roman"/>
          <w:color w:val="000000"/>
          <w:sz w:val="27"/>
          <w:szCs w:val="27"/>
          <w:u w:val="single"/>
        </w:rPr>
        <w:t>Issue</w:t>
      </w:r>
    </w:p>
    <w:p w:rsidR="009877FD" w:rsidRPr="009877FD" w:rsidRDefault="009877FD" w:rsidP="009877FD">
      <w:pPr>
        <w:spacing w:after="0" w:line="240" w:lineRule="auto"/>
        <w:rPr>
          <w:rFonts w:ascii="Times New Roman" w:eastAsia="Times New Roman" w:hAnsi="Times New Roman" w:cs="Times New Roman"/>
          <w:sz w:val="24"/>
          <w:szCs w:val="24"/>
        </w:rPr>
      </w:pPr>
      <w:r w:rsidRPr="009877FD">
        <w:rPr>
          <w:rFonts w:ascii="Times New Roman" w:eastAsia="Times New Roman" w:hAnsi="Times New Roman" w:cs="Times New Roman"/>
          <w:color w:val="000000"/>
          <w:sz w:val="27"/>
          <w:szCs w:val="27"/>
        </w:rPr>
        <w:br/>
        <w:t>Can the assignee of a negotiable promissory note or notes or an assignable conditional sales contract, assume the rights, privileges and duties of the original retailer for the purposes of claiming a bad debt credit or refund (pursuant to K.A.R. 92-19-3) for sales tax remitted by the retailer and included in an assigned contract?</w:t>
      </w:r>
    </w:p>
    <w:p w:rsidR="009877FD" w:rsidRPr="009877FD" w:rsidRDefault="009877FD" w:rsidP="009877FD">
      <w:pPr>
        <w:spacing w:after="0" w:line="240" w:lineRule="auto"/>
        <w:jc w:val="center"/>
        <w:rPr>
          <w:rFonts w:ascii="Times New Roman" w:eastAsia="Times New Roman" w:hAnsi="Times New Roman" w:cs="Times New Roman"/>
          <w:color w:val="000000"/>
          <w:sz w:val="27"/>
          <w:szCs w:val="27"/>
        </w:rPr>
      </w:pPr>
      <w:r w:rsidRPr="009877FD">
        <w:rPr>
          <w:rFonts w:ascii="Times New Roman" w:eastAsia="Times New Roman" w:hAnsi="Times New Roman" w:cs="Times New Roman"/>
          <w:color w:val="000000"/>
          <w:sz w:val="27"/>
          <w:szCs w:val="27"/>
        </w:rPr>
        <w:br/>
      </w:r>
      <w:r w:rsidRPr="009877FD">
        <w:rPr>
          <w:rFonts w:ascii="Times New Roman" w:eastAsia="Times New Roman" w:hAnsi="Times New Roman" w:cs="Times New Roman"/>
          <w:color w:val="000000"/>
          <w:sz w:val="27"/>
          <w:szCs w:val="27"/>
          <w:u w:val="single"/>
        </w:rPr>
        <w:t>Discussion</w:t>
      </w:r>
    </w:p>
    <w:p w:rsidR="009877FD" w:rsidRPr="009877FD" w:rsidRDefault="009877FD" w:rsidP="009877FD">
      <w:pPr>
        <w:spacing w:after="0" w:line="240" w:lineRule="auto"/>
        <w:rPr>
          <w:rFonts w:ascii="Times New Roman" w:eastAsia="Times New Roman" w:hAnsi="Times New Roman" w:cs="Times New Roman"/>
          <w:sz w:val="24"/>
          <w:szCs w:val="24"/>
        </w:rPr>
      </w:pPr>
      <w:r w:rsidRPr="009877FD">
        <w:rPr>
          <w:rFonts w:ascii="Times New Roman" w:eastAsia="Times New Roman" w:hAnsi="Times New Roman" w:cs="Times New Roman"/>
          <w:color w:val="000000"/>
          <w:sz w:val="27"/>
          <w:szCs w:val="27"/>
        </w:rPr>
        <w:br/>
        <w:t>It is clear from a reading of the Kansas Retailer’s Sales Tax Act and the Kansas Administrative Regulations promulgated by the Department that the answer to this question must be “NO”. There also is no record of the Kansas legislature contemplating or intending for this to occur.</w:t>
      </w:r>
      <w:r w:rsidRPr="009877FD">
        <w:rPr>
          <w:rFonts w:ascii="Times New Roman" w:eastAsia="Times New Roman" w:hAnsi="Times New Roman" w:cs="Times New Roman"/>
          <w:color w:val="000000"/>
          <w:sz w:val="27"/>
          <w:szCs w:val="27"/>
        </w:rPr>
        <w:br/>
      </w:r>
      <w:r w:rsidRPr="009877FD">
        <w:rPr>
          <w:rFonts w:ascii="Times New Roman" w:eastAsia="Times New Roman" w:hAnsi="Times New Roman" w:cs="Times New Roman"/>
          <w:color w:val="000000"/>
          <w:sz w:val="27"/>
          <w:szCs w:val="27"/>
        </w:rPr>
        <w:br/>
        <w:t>First, the legislature provides the statutory methodology whereby the sales tax is to be paid and collected. Consequently, the Department is limited to what the legislature has provided and cannot enlarge or extend this to other matters, except as it may be authorized to promulgate rules and regulations to administer the act. K.S.A. 79-3602(d) specifically defines “Retailer” as “a person regularly engaged in the business of selling tangible personal property at retail . . . , and selling only to the user or consumer and not for resale.” The Taxpayer is not a retailer and, even if it did hold a Kansas retailer’s certificate of registration, it could not claim to be the retailer in these transactions because it did not sell the property to the consumer. It is not the retailer. Further, the statutory definition of “Persons” provided at K.S.A. 79-3602(a), while broad in the enumeration of those who may qualify to be a retailer, does not include an “assignee” in its list of those who may become a retailer.</w:t>
      </w:r>
      <w:r w:rsidRPr="009877FD">
        <w:rPr>
          <w:rFonts w:ascii="Times New Roman" w:eastAsia="Times New Roman" w:hAnsi="Times New Roman" w:cs="Times New Roman"/>
          <w:color w:val="000000"/>
          <w:sz w:val="27"/>
          <w:szCs w:val="27"/>
        </w:rPr>
        <w:br/>
      </w:r>
      <w:r w:rsidRPr="009877FD">
        <w:rPr>
          <w:rFonts w:ascii="Times New Roman" w:eastAsia="Times New Roman" w:hAnsi="Times New Roman" w:cs="Times New Roman"/>
          <w:color w:val="000000"/>
          <w:sz w:val="27"/>
          <w:szCs w:val="27"/>
        </w:rPr>
        <w:br/>
        <w:t>Second, the Department has adopted K.A.R. 92-19-3 to provide guidance to retailers. When a retailer makes a non-assignable credit, conditional or installment sale, then the provisions of subsections (a) and (b) apply:</w:t>
      </w:r>
      <w:r w:rsidRPr="009877FD">
        <w:rPr>
          <w:rFonts w:ascii="Times New Roman" w:eastAsia="Times New Roman" w:hAnsi="Times New Roman" w:cs="Times New Roman"/>
          <w:color w:val="000000"/>
          <w:sz w:val="27"/>
          <w:szCs w:val="27"/>
        </w:rPr>
        <w:br/>
      </w:r>
    </w:p>
    <w:p w:rsidR="009877FD" w:rsidRPr="009877FD" w:rsidRDefault="009877FD" w:rsidP="009877FD">
      <w:pPr>
        <w:spacing w:after="0" w:line="240" w:lineRule="auto"/>
        <w:ind w:left="1440"/>
        <w:rPr>
          <w:rFonts w:ascii="Times New Roman" w:eastAsia="Times New Roman" w:hAnsi="Times New Roman" w:cs="Times New Roman"/>
          <w:color w:val="000000"/>
          <w:sz w:val="27"/>
          <w:szCs w:val="27"/>
        </w:rPr>
      </w:pPr>
      <w:r w:rsidRPr="009877FD">
        <w:rPr>
          <w:rFonts w:ascii="Times New Roman" w:eastAsia="Times New Roman" w:hAnsi="Times New Roman" w:cs="Times New Roman"/>
          <w:color w:val="000000"/>
          <w:sz w:val="27"/>
          <w:szCs w:val="27"/>
        </w:rPr>
        <w:t>(a) “When a retailer makes credit, conditional, or installment sales, the retailer may pay tax on the total amount of collections made during each reporting period or, if the retailer’s books are regularly kept on an accrual basis, on the total amount of sales accrued for each reporting period. When the retailer adopts one basis of reporting for sales tax purposes, the retailer shall not change from that basis without first obtaining the permission of the director of taxation.”</w:t>
      </w:r>
      <w:r w:rsidRPr="009877FD">
        <w:rPr>
          <w:rFonts w:ascii="Times New Roman" w:eastAsia="Times New Roman" w:hAnsi="Times New Roman" w:cs="Times New Roman"/>
          <w:color w:val="000000"/>
          <w:sz w:val="27"/>
          <w:szCs w:val="27"/>
        </w:rPr>
        <w:br/>
      </w:r>
      <w:r w:rsidRPr="009877FD">
        <w:rPr>
          <w:rFonts w:ascii="Times New Roman" w:eastAsia="Times New Roman" w:hAnsi="Times New Roman" w:cs="Times New Roman"/>
          <w:color w:val="000000"/>
          <w:sz w:val="27"/>
          <w:szCs w:val="27"/>
        </w:rPr>
        <w:lastRenderedPageBreak/>
        <w:br/>
        <w:t>(b) “If the retailer adopts the accrual basis for reporting taxable sales, the retailer shall account for all periodic adjustments to reported bad debts, including the final adjustment when debts are charged off the retailer’s books for federal income tax purposes. If any portion of the bad debts is recovered after the final adjustment, the retailer shall include the recovery and tax in the next sales tax return.”</w:t>
      </w:r>
    </w:p>
    <w:p w:rsidR="009877FD" w:rsidRPr="009877FD" w:rsidRDefault="009877FD" w:rsidP="009877FD">
      <w:pPr>
        <w:spacing w:after="0" w:line="240" w:lineRule="auto"/>
        <w:rPr>
          <w:rFonts w:ascii="Times New Roman" w:eastAsia="Times New Roman" w:hAnsi="Times New Roman" w:cs="Times New Roman"/>
          <w:sz w:val="24"/>
          <w:szCs w:val="24"/>
        </w:rPr>
      </w:pPr>
      <w:r w:rsidRPr="009877FD">
        <w:rPr>
          <w:rFonts w:ascii="Times New Roman" w:eastAsia="Times New Roman" w:hAnsi="Times New Roman" w:cs="Times New Roman"/>
          <w:color w:val="000000"/>
          <w:sz w:val="27"/>
          <w:szCs w:val="27"/>
        </w:rPr>
        <w:br/>
        <w:t>These subsections make it clear that when an accrual basis retailer bears the risk of receiving payment in certain types of financing arrangements, then the retailer may adjust the taxable sales report downward for debts charged off the retailer’s books for federal income tax purposes. Conversely, the retailer then has the duty to adjust the report upwards if any portion of the bad debt is subsequently recovered. The retailer is responsible for only that amount of the tax the retailer actually receives from the consumer.</w:t>
      </w:r>
      <w:r w:rsidRPr="009877FD">
        <w:rPr>
          <w:rFonts w:ascii="Times New Roman" w:eastAsia="Times New Roman" w:hAnsi="Times New Roman" w:cs="Times New Roman"/>
          <w:color w:val="000000"/>
          <w:sz w:val="27"/>
          <w:szCs w:val="27"/>
        </w:rPr>
        <w:br/>
      </w:r>
      <w:r w:rsidRPr="009877FD">
        <w:rPr>
          <w:rFonts w:ascii="Times New Roman" w:eastAsia="Times New Roman" w:hAnsi="Times New Roman" w:cs="Times New Roman"/>
          <w:color w:val="000000"/>
          <w:sz w:val="27"/>
          <w:szCs w:val="27"/>
        </w:rPr>
        <w:br/>
        <w:t>What happens when the retailer seeks to limit the risk of nonpayment by accepting a negotiable note or an assignable conditional sales contract? This is covered by subsection (c):</w:t>
      </w:r>
      <w:r w:rsidRPr="009877FD">
        <w:rPr>
          <w:rFonts w:ascii="Times New Roman" w:eastAsia="Times New Roman" w:hAnsi="Times New Roman" w:cs="Times New Roman"/>
          <w:color w:val="000000"/>
          <w:sz w:val="27"/>
          <w:szCs w:val="27"/>
        </w:rPr>
        <w:br/>
      </w:r>
    </w:p>
    <w:p w:rsidR="009877FD" w:rsidRPr="009877FD" w:rsidRDefault="009877FD" w:rsidP="009877FD">
      <w:pPr>
        <w:spacing w:after="0" w:line="240" w:lineRule="auto"/>
        <w:ind w:left="1440"/>
        <w:rPr>
          <w:rFonts w:ascii="Times New Roman" w:eastAsia="Times New Roman" w:hAnsi="Times New Roman" w:cs="Times New Roman"/>
          <w:color w:val="000000"/>
          <w:sz w:val="27"/>
          <w:szCs w:val="27"/>
        </w:rPr>
      </w:pPr>
      <w:r w:rsidRPr="009877FD">
        <w:rPr>
          <w:rFonts w:ascii="Times New Roman" w:eastAsia="Times New Roman" w:hAnsi="Times New Roman" w:cs="Times New Roman"/>
          <w:color w:val="000000"/>
          <w:sz w:val="27"/>
          <w:szCs w:val="27"/>
        </w:rPr>
        <w:t>(c) “When tangible personal property or taxable services are sold on deferred payments and the deferred payments are covered by a negotiable note or notes or an assignable conditional sales contract, the retailer shall remit the tax on the total selling price of the property or service at the time the sale is made and report it in the retailer’s next sales tax return.”</w:t>
      </w:r>
    </w:p>
    <w:p w:rsidR="009877FD" w:rsidRPr="009877FD" w:rsidRDefault="009877FD" w:rsidP="009877FD">
      <w:pPr>
        <w:spacing w:after="0" w:line="240" w:lineRule="auto"/>
        <w:rPr>
          <w:rFonts w:ascii="Times New Roman" w:eastAsia="Times New Roman" w:hAnsi="Times New Roman" w:cs="Times New Roman"/>
          <w:sz w:val="24"/>
          <w:szCs w:val="24"/>
        </w:rPr>
      </w:pPr>
      <w:r w:rsidRPr="009877FD">
        <w:rPr>
          <w:rFonts w:ascii="Times New Roman" w:eastAsia="Times New Roman" w:hAnsi="Times New Roman" w:cs="Times New Roman"/>
          <w:color w:val="000000"/>
          <w:sz w:val="27"/>
          <w:szCs w:val="27"/>
        </w:rPr>
        <w:br/>
        <w:t>This subsection provides that when a retailer sells property and receives in return a negotiable note or an assignable conditional sales contract, then the retailer must remit the sales tax on the total selling price. Obviously, the retailer by accepting a negotiable note or an assignable contract, has received in exchange for the property something different than what the retailer would have received had the retailer made a credit, conditional, or installment sale as contemplated by subsection (a). The note or assignable contract can be discounted to a third party unrelated to the original retail sale transaction. In this case the retailer must remit the tax on the total selling price. This protects the state from the possible risks associated with the sale of a note or contract to a third party who would have no statutory duty or obligation to remit the sales tax to the state with each payment from the debtor. The retailer when making an assignment without recourse, is also able to avoid any future liability. Since the regulation requires all of the sales tax to be paid, then the retailer is protected from any further liability to the state for not collecting the tax.</w:t>
      </w:r>
      <w:r w:rsidRPr="009877FD">
        <w:rPr>
          <w:rFonts w:ascii="Times New Roman" w:eastAsia="Times New Roman" w:hAnsi="Times New Roman" w:cs="Times New Roman"/>
          <w:color w:val="000000"/>
          <w:sz w:val="27"/>
          <w:szCs w:val="27"/>
        </w:rPr>
        <w:br/>
      </w:r>
      <w:r w:rsidRPr="009877FD">
        <w:rPr>
          <w:rFonts w:ascii="Times New Roman" w:eastAsia="Times New Roman" w:hAnsi="Times New Roman" w:cs="Times New Roman"/>
          <w:color w:val="000000"/>
          <w:sz w:val="27"/>
          <w:szCs w:val="27"/>
        </w:rPr>
        <w:lastRenderedPageBreak/>
        <w:br/>
        <w:t>The Kansas legislature can change the public policy of this state and allow refunds to be made to third parties holding assignments from Kansas retailers. The decision to grant a windfall to the retailer’s assignees is for the legislature to make, not the Department.</w:t>
      </w:r>
    </w:p>
    <w:p w:rsidR="009877FD" w:rsidRPr="009877FD" w:rsidRDefault="009877FD" w:rsidP="009877FD">
      <w:pPr>
        <w:spacing w:before="100" w:beforeAutospacing="1" w:after="100" w:afterAutospacing="1" w:line="240" w:lineRule="auto"/>
        <w:rPr>
          <w:rFonts w:ascii="Times New Roman" w:eastAsia="Times New Roman" w:hAnsi="Times New Roman" w:cs="Times New Roman"/>
          <w:color w:val="000000"/>
          <w:sz w:val="27"/>
          <w:szCs w:val="27"/>
        </w:rPr>
      </w:pPr>
    </w:p>
    <w:p w:rsidR="009877FD" w:rsidRPr="009877FD" w:rsidRDefault="009877FD" w:rsidP="009877FD">
      <w:pPr>
        <w:spacing w:after="0" w:line="240" w:lineRule="auto"/>
        <w:jc w:val="center"/>
        <w:rPr>
          <w:rFonts w:ascii="Times New Roman" w:eastAsia="Times New Roman" w:hAnsi="Times New Roman" w:cs="Times New Roman"/>
          <w:color w:val="000000"/>
          <w:sz w:val="27"/>
          <w:szCs w:val="27"/>
        </w:rPr>
      </w:pPr>
      <w:r w:rsidRPr="009877FD">
        <w:rPr>
          <w:rFonts w:ascii="Times New Roman" w:eastAsia="Times New Roman" w:hAnsi="Times New Roman" w:cs="Times New Roman"/>
          <w:color w:val="000000"/>
          <w:sz w:val="27"/>
          <w:szCs w:val="27"/>
        </w:rPr>
        <w:br/>
      </w:r>
      <w:r w:rsidRPr="009877FD">
        <w:rPr>
          <w:rFonts w:ascii="Times New Roman" w:eastAsia="Times New Roman" w:hAnsi="Times New Roman" w:cs="Times New Roman"/>
          <w:color w:val="000000"/>
          <w:sz w:val="27"/>
          <w:szCs w:val="27"/>
          <w:u w:val="single"/>
        </w:rPr>
        <w:t>Conclusion</w:t>
      </w:r>
    </w:p>
    <w:p w:rsidR="00A3111D" w:rsidRPr="00A3111D" w:rsidRDefault="009877FD" w:rsidP="009877FD">
      <w:pPr>
        <w:spacing w:after="0" w:line="240" w:lineRule="auto"/>
      </w:pPr>
      <w:r w:rsidRPr="009877FD">
        <w:rPr>
          <w:rFonts w:ascii="Times New Roman" w:eastAsia="Times New Roman" w:hAnsi="Times New Roman" w:cs="Times New Roman"/>
          <w:color w:val="000000"/>
          <w:sz w:val="27"/>
          <w:szCs w:val="27"/>
        </w:rPr>
        <w:br/>
        <w:t>Upon reconsideration of all of the facts and issues underlying the Department’s denial of the Taxpayer’s request for a sales tax refund, it is the final determination of the Secretary that the Department’s denial of the refund claim be sustained.</w:t>
      </w:r>
      <w:r w:rsidRPr="009877FD">
        <w:rPr>
          <w:rFonts w:ascii="Times New Roman" w:eastAsia="Times New Roman" w:hAnsi="Times New Roman" w:cs="Times New Roman"/>
          <w:color w:val="000000"/>
          <w:sz w:val="27"/>
          <w:szCs w:val="27"/>
        </w:rPr>
        <w:br/>
      </w:r>
      <w:r w:rsidRPr="009877FD">
        <w:rPr>
          <w:rFonts w:ascii="Times New Roman" w:eastAsia="Times New Roman" w:hAnsi="Times New Roman" w:cs="Times New Roman"/>
          <w:color w:val="000000"/>
          <w:sz w:val="27"/>
          <w:szCs w:val="27"/>
        </w:rPr>
        <w:br/>
      </w:r>
      <w:r w:rsidRPr="009877FD">
        <w:rPr>
          <w:rFonts w:ascii="Times New Roman" w:eastAsia="Times New Roman" w:hAnsi="Times New Roman" w:cs="Times New Roman"/>
          <w:color w:val="000000"/>
          <w:sz w:val="27"/>
          <w:szCs w:val="27"/>
        </w:rPr>
        <w:br/>
      </w:r>
      <w:r w:rsidRPr="009877FD">
        <w:rPr>
          <w:rFonts w:ascii="Times New Roman" w:eastAsia="Times New Roman" w:hAnsi="Times New Roman" w:cs="Times New Roman"/>
          <w:color w:val="000000"/>
          <w:sz w:val="27"/>
          <w:szCs w:val="27"/>
        </w:rPr>
        <w:br/>
      </w:r>
      <w:r w:rsidRPr="009877FD">
        <w:rPr>
          <w:rFonts w:ascii="Times New Roman" w:eastAsia="Times New Roman" w:hAnsi="Times New Roman" w:cs="Times New Roman"/>
          <w:color w:val="000000"/>
          <w:sz w:val="27"/>
          <w:szCs w:val="27"/>
        </w:rPr>
        <w:br/>
      </w:r>
      <w:r w:rsidRPr="009877FD">
        <w:rPr>
          <w:rFonts w:ascii="Times New Roman" w:eastAsia="Times New Roman" w:hAnsi="Times New Roman" w:cs="Times New Roman"/>
          <w:color w:val="000000"/>
          <w:sz w:val="27"/>
          <w:szCs w:val="27"/>
        </w:rPr>
        <w:br/>
        <w:t>Sincerely</w:t>
      </w:r>
      <w:proofErr w:type="gramStart"/>
      <w:r w:rsidRPr="009877FD">
        <w:rPr>
          <w:rFonts w:ascii="Times New Roman" w:eastAsia="Times New Roman" w:hAnsi="Times New Roman" w:cs="Times New Roman"/>
          <w:color w:val="000000"/>
          <w:sz w:val="27"/>
          <w:szCs w:val="27"/>
        </w:rPr>
        <w:t>,</w:t>
      </w:r>
      <w:proofErr w:type="gramEnd"/>
      <w:r w:rsidRPr="009877FD">
        <w:rPr>
          <w:rFonts w:ascii="Times New Roman" w:eastAsia="Times New Roman" w:hAnsi="Times New Roman" w:cs="Times New Roman"/>
          <w:color w:val="000000"/>
          <w:sz w:val="27"/>
          <w:szCs w:val="27"/>
        </w:rPr>
        <w:br/>
      </w:r>
      <w:r w:rsidRPr="009877FD">
        <w:rPr>
          <w:rFonts w:ascii="Times New Roman" w:eastAsia="Times New Roman" w:hAnsi="Times New Roman" w:cs="Times New Roman"/>
          <w:color w:val="000000"/>
          <w:sz w:val="27"/>
          <w:szCs w:val="27"/>
        </w:rPr>
        <w:br/>
      </w:r>
      <w:r w:rsidRPr="009877FD">
        <w:rPr>
          <w:rFonts w:ascii="Times New Roman" w:eastAsia="Times New Roman" w:hAnsi="Times New Roman" w:cs="Times New Roman"/>
          <w:color w:val="000000"/>
          <w:sz w:val="27"/>
          <w:szCs w:val="27"/>
        </w:rPr>
        <w:br/>
      </w:r>
      <w:r w:rsidRPr="009877FD">
        <w:rPr>
          <w:rFonts w:ascii="Times New Roman" w:eastAsia="Times New Roman" w:hAnsi="Times New Roman" w:cs="Times New Roman"/>
          <w:color w:val="000000"/>
          <w:sz w:val="27"/>
          <w:szCs w:val="27"/>
        </w:rPr>
        <w:br/>
        <w:t>DAVID J. HEINEMANN</w:t>
      </w:r>
      <w:r w:rsidRPr="009877FD">
        <w:rPr>
          <w:rFonts w:ascii="Times New Roman" w:eastAsia="Times New Roman" w:hAnsi="Times New Roman" w:cs="Times New Roman"/>
          <w:color w:val="000000"/>
          <w:sz w:val="27"/>
          <w:szCs w:val="27"/>
        </w:rPr>
        <w:br/>
        <w:t>Secretary’s Designee</w:t>
      </w:r>
      <w:r w:rsidRPr="009877FD">
        <w:rPr>
          <w:rFonts w:ascii="Times New Roman" w:eastAsia="Times New Roman" w:hAnsi="Times New Roman" w:cs="Times New Roman"/>
          <w:color w:val="000000"/>
          <w:sz w:val="27"/>
          <w:szCs w:val="27"/>
        </w:rPr>
        <w:br/>
        <w:t>cc: David Dunlap</w:t>
      </w:r>
      <w:r w:rsidRPr="009877FD">
        <w:rPr>
          <w:rFonts w:ascii="Times New Roman" w:eastAsia="Times New Roman" w:hAnsi="Times New Roman" w:cs="Times New Roman"/>
          <w:color w:val="000000"/>
          <w:sz w:val="27"/>
          <w:szCs w:val="27"/>
        </w:rPr>
        <w:br/>
        <w:t>Shirley Sicilian</w:t>
      </w:r>
      <w:r w:rsidRPr="009877FD">
        <w:rPr>
          <w:rFonts w:ascii="Times New Roman" w:eastAsia="Times New Roman" w:hAnsi="Times New Roman" w:cs="Times New Roman"/>
          <w:color w:val="000000"/>
          <w:sz w:val="27"/>
          <w:szCs w:val="27"/>
        </w:rPr>
        <w:br/>
        <w:t>Richard Cram</w:t>
      </w:r>
      <w:r w:rsidRPr="009877FD">
        <w:rPr>
          <w:rFonts w:ascii="Times New Roman" w:eastAsia="Times New Roman" w:hAnsi="Times New Roman" w:cs="Times New Roman"/>
          <w:color w:val="000000"/>
          <w:sz w:val="27"/>
          <w:szCs w:val="27"/>
        </w:rPr>
        <w:br/>
        <w:t xml:space="preserve">Monica </w:t>
      </w:r>
      <w:proofErr w:type="spellStart"/>
      <w:r w:rsidRPr="009877FD">
        <w:rPr>
          <w:rFonts w:ascii="Times New Roman" w:eastAsia="Times New Roman" w:hAnsi="Times New Roman" w:cs="Times New Roman"/>
          <w:color w:val="000000"/>
          <w:sz w:val="27"/>
          <w:szCs w:val="27"/>
        </w:rPr>
        <w:t>Holthaus</w:t>
      </w:r>
      <w:proofErr w:type="spellEnd"/>
      <w:r w:rsidRPr="009877FD">
        <w:rPr>
          <w:rFonts w:ascii="Times New Roman" w:eastAsia="Times New Roman" w:hAnsi="Times New Roman" w:cs="Times New Roman"/>
          <w:color w:val="000000"/>
          <w:sz w:val="27"/>
          <w:szCs w:val="27"/>
        </w:rPr>
        <w:br/>
      </w:r>
      <w:r w:rsidRPr="009877FD">
        <w:rPr>
          <w:rFonts w:ascii="Times New Roman" w:eastAsia="Times New Roman" w:hAnsi="Times New Roman" w:cs="Times New Roman"/>
          <w:color w:val="000000"/>
          <w:sz w:val="27"/>
          <w:szCs w:val="27"/>
        </w:rPr>
        <w:br/>
      </w:r>
      <w:r w:rsidRPr="009877FD">
        <w:rPr>
          <w:rFonts w:ascii="Times New Roman" w:eastAsia="Times New Roman" w:hAnsi="Times New Roman" w:cs="Times New Roman"/>
          <w:color w:val="000000"/>
          <w:sz w:val="27"/>
          <w:szCs w:val="27"/>
        </w:rPr>
        <w:br/>
      </w:r>
      <w:r w:rsidRPr="009877FD">
        <w:rPr>
          <w:rFonts w:ascii="Times New Roman" w:eastAsia="Times New Roman" w:hAnsi="Times New Roman" w:cs="Times New Roman"/>
          <w:color w:val="000000"/>
          <w:sz w:val="27"/>
          <w:szCs w:val="27"/>
        </w:rPr>
        <w:br/>
      </w:r>
      <w:r w:rsidRPr="009877FD">
        <w:rPr>
          <w:rFonts w:ascii="Times New Roman" w:eastAsia="Times New Roman" w:hAnsi="Times New Roman" w:cs="Times New Roman"/>
          <w:b/>
          <w:bCs/>
          <w:color w:val="000080"/>
          <w:sz w:val="27"/>
          <w:szCs w:val="27"/>
        </w:rPr>
        <w:t>Date Composed: </w:t>
      </w:r>
      <w:r w:rsidRPr="009877FD">
        <w:rPr>
          <w:rFonts w:ascii="Times New Roman" w:eastAsia="Times New Roman" w:hAnsi="Times New Roman" w:cs="Times New Roman"/>
          <w:b/>
          <w:bCs/>
          <w:color w:val="000000"/>
          <w:sz w:val="27"/>
          <w:szCs w:val="27"/>
        </w:rPr>
        <w:t>03/09/2001</w:t>
      </w:r>
      <w:r w:rsidRPr="009877FD">
        <w:rPr>
          <w:rFonts w:ascii="Times New Roman" w:eastAsia="Times New Roman" w:hAnsi="Times New Roman" w:cs="Times New Roman"/>
          <w:b/>
          <w:bCs/>
          <w:color w:val="000080"/>
          <w:sz w:val="27"/>
          <w:szCs w:val="27"/>
        </w:rPr>
        <w:t> Date Modified: </w:t>
      </w:r>
      <w:r w:rsidRPr="009877FD">
        <w:rPr>
          <w:rFonts w:ascii="Times New Roman" w:eastAsia="Times New Roman" w:hAnsi="Times New Roman" w:cs="Times New Roman"/>
          <w:b/>
          <w:bCs/>
          <w:color w:val="000000"/>
          <w:sz w:val="27"/>
          <w:szCs w:val="27"/>
        </w:rPr>
        <w:t>10/09/2001</w:t>
      </w:r>
      <w:r w:rsidRPr="009877FD">
        <w:rPr>
          <w:rFonts w:ascii="Times New Roman" w:eastAsia="Times New Roman" w:hAnsi="Times New Roman" w:cs="Times New Roman"/>
          <w:color w:val="000000"/>
          <w:sz w:val="27"/>
          <w:szCs w:val="27"/>
        </w:rPr>
        <w:br/>
      </w:r>
    </w:p>
    <w:sectPr w:rsidR="00A3111D" w:rsidRPr="00A31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4D"/>
    <w:rsid w:val="00071A48"/>
    <w:rsid w:val="0024454E"/>
    <w:rsid w:val="0037304D"/>
    <w:rsid w:val="003C222C"/>
    <w:rsid w:val="00430AE7"/>
    <w:rsid w:val="004F448C"/>
    <w:rsid w:val="00512FA6"/>
    <w:rsid w:val="00597E03"/>
    <w:rsid w:val="00667D0D"/>
    <w:rsid w:val="006F7FB6"/>
    <w:rsid w:val="00917F91"/>
    <w:rsid w:val="009877FD"/>
    <w:rsid w:val="009C0C0C"/>
    <w:rsid w:val="00A3111D"/>
    <w:rsid w:val="00E32197"/>
    <w:rsid w:val="00E62112"/>
    <w:rsid w:val="00E709FA"/>
    <w:rsid w:val="00F56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26A9FD-88EF-46A9-BADE-C15E465C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0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4427">
      <w:bodyDiv w:val="1"/>
      <w:marLeft w:val="0"/>
      <w:marRight w:val="0"/>
      <w:marTop w:val="0"/>
      <w:marBottom w:val="0"/>
      <w:divBdr>
        <w:top w:val="none" w:sz="0" w:space="0" w:color="auto"/>
        <w:left w:val="none" w:sz="0" w:space="0" w:color="auto"/>
        <w:bottom w:val="none" w:sz="0" w:space="0" w:color="auto"/>
        <w:right w:val="none" w:sz="0" w:space="0" w:color="auto"/>
      </w:divBdr>
    </w:div>
    <w:div w:id="241137564">
      <w:bodyDiv w:val="1"/>
      <w:marLeft w:val="0"/>
      <w:marRight w:val="0"/>
      <w:marTop w:val="0"/>
      <w:marBottom w:val="0"/>
      <w:divBdr>
        <w:top w:val="none" w:sz="0" w:space="0" w:color="auto"/>
        <w:left w:val="none" w:sz="0" w:space="0" w:color="auto"/>
        <w:bottom w:val="none" w:sz="0" w:space="0" w:color="auto"/>
        <w:right w:val="none" w:sz="0" w:space="0" w:color="auto"/>
      </w:divBdr>
    </w:div>
    <w:div w:id="324551136">
      <w:bodyDiv w:val="1"/>
      <w:marLeft w:val="0"/>
      <w:marRight w:val="0"/>
      <w:marTop w:val="0"/>
      <w:marBottom w:val="0"/>
      <w:divBdr>
        <w:top w:val="none" w:sz="0" w:space="0" w:color="auto"/>
        <w:left w:val="none" w:sz="0" w:space="0" w:color="auto"/>
        <w:bottom w:val="none" w:sz="0" w:space="0" w:color="auto"/>
        <w:right w:val="none" w:sz="0" w:space="0" w:color="auto"/>
      </w:divBdr>
    </w:div>
    <w:div w:id="531918211">
      <w:bodyDiv w:val="1"/>
      <w:marLeft w:val="0"/>
      <w:marRight w:val="0"/>
      <w:marTop w:val="0"/>
      <w:marBottom w:val="0"/>
      <w:divBdr>
        <w:top w:val="none" w:sz="0" w:space="0" w:color="auto"/>
        <w:left w:val="none" w:sz="0" w:space="0" w:color="auto"/>
        <w:bottom w:val="none" w:sz="0" w:space="0" w:color="auto"/>
        <w:right w:val="none" w:sz="0" w:space="0" w:color="auto"/>
      </w:divBdr>
    </w:div>
    <w:div w:id="1158376279">
      <w:bodyDiv w:val="1"/>
      <w:marLeft w:val="0"/>
      <w:marRight w:val="0"/>
      <w:marTop w:val="0"/>
      <w:marBottom w:val="0"/>
      <w:divBdr>
        <w:top w:val="none" w:sz="0" w:space="0" w:color="auto"/>
        <w:left w:val="none" w:sz="0" w:space="0" w:color="auto"/>
        <w:bottom w:val="none" w:sz="0" w:space="0" w:color="auto"/>
        <w:right w:val="none" w:sz="0" w:space="0" w:color="auto"/>
      </w:divBdr>
    </w:div>
    <w:div w:id="1191989864">
      <w:bodyDiv w:val="1"/>
      <w:marLeft w:val="0"/>
      <w:marRight w:val="0"/>
      <w:marTop w:val="0"/>
      <w:marBottom w:val="0"/>
      <w:divBdr>
        <w:top w:val="none" w:sz="0" w:space="0" w:color="auto"/>
        <w:left w:val="none" w:sz="0" w:space="0" w:color="auto"/>
        <w:bottom w:val="none" w:sz="0" w:space="0" w:color="auto"/>
        <w:right w:val="none" w:sz="0" w:space="0" w:color="auto"/>
      </w:divBdr>
    </w:div>
    <w:div w:id="1262296092">
      <w:bodyDiv w:val="1"/>
      <w:marLeft w:val="0"/>
      <w:marRight w:val="0"/>
      <w:marTop w:val="0"/>
      <w:marBottom w:val="0"/>
      <w:divBdr>
        <w:top w:val="none" w:sz="0" w:space="0" w:color="auto"/>
        <w:left w:val="none" w:sz="0" w:space="0" w:color="auto"/>
        <w:bottom w:val="none" w:sz="0" w:space="0" w:color="auto"/>
        <w:right w:val="none" w:sz="0" w:space="0" w:color="auto"/>
      </w:divBdr>
    </w:div>
    <w:div w:id="1567182379">
      <w:bodyDiv w:val="1"/>
      <w:marLeft w:val="0"/>
      <w:marRight w:val="0"/>
      <w:marTop w:val="0"/>
      <w:marBottom w:val="0"/>
      <w:divBdr>
        <w:top w:val="none" w:sz="0" w:space="0" w:color="auto"/>
        <w:left w:val="none" w:sz="0" w:space="0" w:color="auto"/>
        <w:bottom w:val="none" w:sz="0" w:space="0" w:color="auto"/>
        <w:right w:val="none" w:sz="0" w:space="0" w:color="auto"/>
      </w:divBdr>
    </w:div>
    <w:div w:id="1666981529">
      <w:bodyDiv w:val="1"/>
      <w:marLeft w:val="0"/>
      <w:marRight w:val="0"/>
      <w:marTop w:val="0"/>
      <w:marBottom w:val="0"/>
      <w:divBdr>
        <w:top w:val="none" w:sz="0" w:space="0" w:color="auto"/>
        <w:left w:val="none" w:sz="0" w:space="0" w:color="auto"/>
        <w:bottom w:val="none" w:sz="0" w:space="0" w:color="auto"/>
        <w:right w:val="none" w:sz="0" w:space="0" w:color="auto"/>
      </w:divBdr>
    </w:div>
    <w:div w:id="1811511882">
      <w:bodyDiv w:val="1"/>
      <w:marLeft w:val="0"/>
      <w:marRight w:val="0"/>
      <w:marTop w:val="0"/>
      <w:marBottom w:val="0"/>
      <w:divBdr>
        <w:top w:val="none" w:sz="0" w:space="0" w:color="auto"/>
        <w:left w:val="none" w:sz="0" w:space="0" w:color="auto"/>
        <w:bottom w:val="none" w:sz="0" w:space="0" w:color="auto"/>
        <w:right w:val="none" w:sz="0" w:space="0" w:color="auto"/>
      </w:divBdr>
    </w:div>
    <w:div w:id="204108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 debt adjustment for federal income tax purposes</dc:title>
  <dc:subject/>
  <dc:creator>John Waldo [KDOR]</dc:creator>
  <cp:keywords>WFD-P-2001-2,sales tax, bad debt, adjustment, determination,federal, income tax</cp:keywords>
  <dc:description/>
  <cp:lastModifiedBy>John Waldo [KDOR]</cp:lastModifiedBy>
  <cp:revision>3</cp:revision>
  <dcterms:created xsi:type="dcterms:W3CDTF">2020-09-03T18:25:00Z</dcterms:created>
  <dcterms:modified xsi:type="dcterms:W3CDTF">2020-09-24T18:12:00Z</dcterms:modified>
</cp:coreProperties>
</file>